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6F9" w:rsidRDefault="00FB46F9" w:rsidP="00FB46F9">
      <w:pPr>
        <w:spacing w:line="480" w:lineRule="atLeast"/>
        <w:jc w:val="center"/>
        <w:rPr>
          <w:b/>
          <w:color w:val="000000"/>
        </w:rPr>
      </w:pPr>
      <w:r>
        <w:rPr>
          <w:b/>
          <w:color w:val="000000"/>
        </w:rPr>
        <w:t>---------------------------------------------------------------------------------------------------------------------</w:t>
      </w:r>
    </w:p>
    <w:p w:rsidR="00586DE2" w:rsidRDefault="000B7066" w:rsidP="000B7066">
      <w:pPr>
        <w:spacing w:line="480" w:lineRule="atLeast"/>
        <w:ind w:left="2880" w:firstLine="720"/>
        <w:rPr>
          <w:b/>
          <w:color w:val="000000"/>
        </w:rPr>
      </w:pPr>
      <w:r>
        <w:rPr>
          <w:b/>
          <w:color w:val="000000"/>
        </w:rPr>
        <w:t xml:space="preserve">    </w:t>
      </w:r>
      <w:r w:rsidR="00586DE2" w:rsidRPr="003874B7">
        <w:rPr>
          <w:b/>
          <w:color w:val="000000"/>
        </w:rPr>
        <w:t>PHASE FIVE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5"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586DE2" w:rsidRPr="003874B7" w:rsidRDefault="000B7066" w:rsidP="000B7066">
      <w:pPr>
        <w:ind w:left="2160" w:firstLine="720"/>
        <w:rPr>
          <w:b/>
          <w:color w:val="000000"/>
        </w:rPr>
      </w:pPr>
      <w:r>
        <w:rPr>
          <w:b/>
          <w:color w:val="000000"/>
        </w:rPr>
        <w:t xml:space="preserve">       </w:t>
      </w:r>
      <w:r w:rsidR="00586DE2" w:rsidRPr="003874B7">
        <w:rPr>
          <w:b/>
          <w:color w:val="000000"/>
        </w:rPr>
        <w:t>EXERCISE ELEVEN-</w:t>
      </w:r>
      <w:proofErr w:type="gramStart"/>
      <w:r w:rsidR="00586DE2" w:rsidRPr="003874B7">
        <w:rPr>
          <w:b/>
          <w:color w:val="000000"/>
        </w:rPr>
        <w:t>A</w:t>
      </w:r>
      <w:r>
        <w:rPr>
          <w:b/>
          <w:color w:val="000000"/>
        </w:rPr>
        <w:tab/>
      </w:r>
      <w:r>
        <w:rPr>
          <w:b/>
          <w:color w:val="000000"/>
        </w:rPr>
        <w:tab/>
        <w:t xml:space="preserve">         </w:t>
      </w:r>
      <w:r w:rsidRPr="004D64A7">
        <w:rPr>
          <w:color w:val="000000"/>
          <w:sz w:val="20"/>
        </w:rPr>
        <w:t>House</w:t>
      </w:r>
      <w:proofErr w:type="gramEnd"/>
      <w:r w:rsidRPr="004D64A7">
        <w:rPr>
          <w:color w:val="000000"/>
          <w:sz w:val="20"/>
        </w:rPr>
        <w:t xml:space="preserve"> Information</w:t>
      </w:r>
    </w:p>
    <w:p w:rsidR="00586DE2" w:rsidRDefault="00586DE2" w:rsidP="00586DE2">
      <w:pPr>
        <w:jc w:val="center"/>
        <w:rPr>
          <w:b/>
          <w:color w:val="000000"/>
        </w:rPr>
      </w:pPr>
    </w:p>
    <w:p w:rsidR="00586DE2" w:rsidRPr="00281DBA" w:rsidRDefault="00586DE2" w:rsidP="00586DE2">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586DE2" w:rsidRDefault="00586DE2" w:rsidP="00586DE2">
      <w:pPr>
        <w:jc w:val="center"/>
        <w:rPr>
          <w:b/>
          <w:color w:val="000000"/>
        </w:rPr>
      </w:pPr>
      <w:r>
        <w:rPr>
          <w:b/>
          <w:noProof/>
          <w:color w:val="000000"/>
        </w:rPr>
        <w:drawing>
          <wp:inline distT="0" distB="0" distL="0" distR="0">
            <wp:extent cx="1371600" cy="685800"/>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5800"/>
                    </a:xfrm>
                    <a:prstGeom prst="rect">
                      <a:avLst/>
                    </a:prstGeom>
                    <a:noFill/>
                    <a:ln w="9525">
                      <a:noFill/>
                      <a:miter lim="800000"/>
                      <a:headEnd/>
                      <a:tailEnd/>
                    </a:ln>
                  </pic:spPr>
                </pic:pic>
              </a:graphicData>
            </a:graphic>
          </wp:inline>
        </w:drawing>
      </w:r>
      <w:r>
        <w:rPr>
          <w:b/>
          <w:noProof/>
          <w:color w:val="000000"/>
        </w:rPr>
        <w:drawing>
          <wp:inline distT="0" distB="0" distL="0" distR="0">
            <wp:extent cx="695325" cy="92392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325" cy="923925"/>
                    </a:xfrm>
                    <a:prstGeom prst="rect">
                      <a:avLst/>
                    </a:prstGeom>
                    <a:noFill/>
                    <a:ln w="9525">
                      <a:noFill/>
                      <a:miter lim="800000"/>
                      <a:headEnd/>
                      <a:tailEnd/>
                    </a:ln>
                  </pic:spPr>
                </pic:pic>
              </a:graphicData>
            </a:graphic>
          </wp:inline>
        </w:drawing>
      </w:r>
    </w:p>
    <w:p w:rsidR="00586DE2" w:rsidRPr="003874B7" w:rsidRDefault="00586DE2" w:rsidP="00586DE2">
      <w:pPr>
        <w:jc w:val="center"/>
        <w:rPr>
          <w:b/>
          <w:color w:val="000000"/>
        </w:rPr>
      </w:pPr>
    </w:p>
    <w:p w:rsidR="00586DE2" w:rsidRPr="003874B7" w:rsidRDefault="00586DE2" w:rsidP="00586DE2">
      <w:pPr>
        <w:jc w:val="center"/>
        <w:rPr>
          <w:color w:val="000000"/>
        </w:rPr>
      </w:pPr>
      <w:r w:rsidRPr="003874B7">
        <w:rPr>
          <w:b/>
          <w:color w:val="000000"/>
        </w:rPr>
        <w:t>Evaluating the Impact of a New Advertising Campaign</w:t>
      </w:r>
    </w:p>
    <w:p w:rsidR="00586DE2" w:rsidRPr="003874B7" w:rsidRDefault="00586DE2" w:rsidP="00586DE2">
      <w:pPr>
        <w:rPr>
          <w:color w:val="000000"/>
        </w:rPr>
      </w:pPr>
    </w:p>
    <w:p w:rsidR="00586DE2" w:rsidRDefault="00586DE2" w:rsidP="00586DE2">
      <w:pPr>
        <w:jc w:val="both"/>
        <w:rPr>
          <w:color w:val="000000"/>
        </w:rPr>
      </w:pPr>
      <w:r w:rsidRPr="003874B7">
        <w:rPr>
          <w:color w:val="000000"/>
        </w:rPr>
        <w:tab/>
        <w:t xml:space="preserve">The advertising and promotion for </w:t>
      </w:r>
      <w:r w:rsidRPr="003874B7">
        <w:rPr>
          <w:i/>
          <w:color w:val="000000"/>
        </w:rPr>
        <w:t>The House</w:t>
      </w:r>
      <w:r w:rsidRPr="003874B7">
        <w:rPr>
          <w:color w:val="000000"/>
        </w:rPr>
        <w:t xml:space="preserve"> consists of a half-page advertisement in the Saturday newspaper, a weekly one-inch advertisement in two church bulletins, a full-page advertisement in the high school yearbook, sponsorship of a float in the Fourth of July parade, and sponsorship of the local high school football and basketball teams. The local newspaper advertising is $400 per week, the advertisements in the church bulletins is $2</w:t>
      </w:r>
      <w:r w:rsidR="00AA6DBF">
        <w:rPr>
          <w:color w:val="000000"/>
        </w:rPr>
        <w:t>,</w:t>
      </w:r>
      <w:r w:rsidRPr="003874B7">
        <w:rPr>
          <w:color w:val="000000"/>
        </w:rPr>
        <w:t>000 per year, the ad in the yearbook is $750, the parade float is $3</w:t>
      </w:r>
      <w:r w:rsidR="00AA6DBF">
        <w:rPr>
          <w:color w:val="000000"/>
        </w:rPr>
        <w:t>,</w:t>
      </w:r>
      <w:r w:rsidRPr="003874B7">
        <w:rPr>
          <w:color w:val="000000"/>
        </w:rPr>
        <w:t>250, and the team sponsorships are $3</w:t>
      </w:r>
      <w:r w:rsidR="00AA6DBF">
        <w:rPr>
          <w:color w:val="000000"/>
        </w:rPr>
        <w:t>,</w:t>
      </w:r>
      <w:r w:rsidRPr="003874B7">
        <w:rPr>
          <w:color w:val="000000"/>
        </w:rPr>
        <w:t xml:space="preserve">000 each. In addition, there are a variety of other advertising and promotions that vary each year but generally total less than $20,000 annually. Advertising has been approximately 3.2% of sales.  </w:t>
      </w:r>
    </w:p>
    <w:p w:rsidR="00586DE2" w:rsidRPr="003874B7" w:rsidRDefault="00586DE2" w:rsidP="00586DE2">
      <w:pPr>
        <w:jc w:val="both"/>
        <w:rPr>
          <w:color w:val="000000"/>
        </w:rPr>
      </w:pPr>
    </w:p>
    <w:p w:rsidR="00586DE2" w:rsidRDefault="00586DE2" w:rsidP="00586DE2">
      <w:pPr>
        <w:jc w:val="both"/>
        <w:rPr>
          <w:color w:val="000000"/>
        </w:rPr>
      </w:pPr>
      <w:r w:rsidRPr="003874B7">
        <w:rPr>
          <w:color w:val="000000"/>
        </w:rPr>
        <w:tab/>
        <w:t xml:space="preserve">Currently all of the advertising/promotion has a long-run objective of improving store performance by promoting the store image.  Anne believes that the advertising expenditures need to have a short-term objective such as attracting new customers and increasing patronage from existing customers.  She also believes that </w:t>
      </w:r>
      <w:r w:rsidRPr="003874B7">
        <w:rPr>
          <w:i/>
          <w:color w:val="000000"/>
        </w:rPr>
        <w:t>The House</w:t>
      </w:r>
      <w:r w:rsidRPr="003874B7">
        <w:rPr>
          <w:color w:val="000000"/>
        </w:rPr>
        <w:t xml:space="preserve"> needs to spend a minimum of $2,500 per month with expenditures concentrated during periods of peak demand (March-May and November-December).  </w:t>
      </w:r>
    </w:p>
    <w:p w:rsidR="00586DE2" w:rsidRPr="003874B7" w:rsidRDefault="00586DE2" w:rsidP="00586DE2">
      <w:pPr>
        <w:jc w:val="both"/>
        <w:rPr>
          <w:color w:val="000000"/>
        </w:rPr>
      </w:pPr>
    </w:p>
    <w:p w:rsidR="00586DE2" w:rsidRDefault="00586DE2" w:rsidP="00586DE2">
      <w:pPr>
        <w:jc w:val="both"/>
        <w:rPr>
          <w:color w:val="000000"/>
        </w:rPr>
      </w:pPr>
      <w:r w:rsidRPr="003874B7">
        <w:rPr>
          <w:color w:val="000000"/>
        </w:rPr>
        <w:tab/>
        <w:t xml:space="preserve">Anne has recommended the following advertising expenditures: January and February = $2,500, March = $3,000, April and May = $3,500, June = $3,000, July-September = $2,500, October = $5,000, November - December = $9,000. Furthermore, 40% would be spent on the local AM Radio station and 60% on the local newspaper replacing the current newspaper ads. All advertising will feature items on sale. </w:t>
      </w:r>
      <w:r w:rsidRPr="003874B7">
        <w:rPr>
          <w:i/>
          <w:color w:val="000000"/>
        </w:rPr>
        <w:t>The House</w:t>
      </w:r>
      <w:r w:rsidRPr="003874B7">
        <w:rPr>
          <w:color w:val="000000"/>
        </w:rPr>
        <w:t xml:space="preserve"> will continue its public service sponsorships, and its church bulletins and yearbook ads. As a result, Anne believes that penetration will rise to 68% and the average number of items purchased will rise from 5.0 to 5.2 or 5.3. Since advertising will be directed at the local trade area, she does not expect the trade radius to increase.  </w:t>
      </w:r>
    </w:p>
    <w:p w:rsidR="00586DE2" w:rsidRDefault="00586DE2" w:rsidP="00586DE2">
      <w:pPr>
        <w:jc w:val="both"/>
        <w:rPr>
          <w:color w:val="000000"/>
        </w:rPr>
      </w:pPr>
    </w:p>
    <w:p w:rsidR="00586DE2" w:rsidRDefault="00586DE2" w:rsidP="00586DE2">
      <w:pPr>
        <w:jc w:val="both"/>
        <w:rPr>
          <w:color w:val="000000"/>
        </w:rPr>
      </w:pPr>
      <w:r>
        <w:rPr>
          <w:color w:val="000000"/>
        </w:rPr>
        <w:tab/>
        <w:t>When completing the worksheet you should note than Anne’s advertising plan changes advertising from a variable cost to a fixed cost. The worksheet should be changed accordingly.</w:t>
      </w:r>
    </w:p>
    <w:p w:rsidR="00586DE2" w:rsidRPr="003874B7" w:rsidRDefault="00586DE2" w:rsidP="00586DE2">
      <w:pPr>
        <w:jc w:val="both"/>
        <w:rPr>
          <w:color w:val="000000"/>
        </w:rPr>
      </w:pPr>
    </w:p>
    <w:p w:rsidR="000112EC" w:rsidRDefault="000112EC" w:rsidP="000112EC">
      <w:pPr>
        <w:spacing w:line="480" w:lineRule="atLeast"/>
        <w:jc w:val="center"/>
        <w:rPr>
          <w:b/>
          <w:color w:val="000000"/>
        </w:rPr>
      </w:pPr>
      <w:r>
        <w:rPr>
          <w:b/>
          <w:color w:val="000000"/>
        </w:rPr>
        <w:t>---------------------------------------------------------------------------------------------------------------------</w:t>
      </w:r>
    </w:p>
    <w:p w:rsidR="000112EC" w:rsidRDefault="000112EC" w:rsidP="00586DE2">
      <w:pPr>
        <w:jc w:val="both"/>
        <w:rPr>
          <w:color w:val="000000"/>
        </w:rPr>
      </w:pPr>
    </w:p>
    <w:p w:rsidR="00586DE2" w:rsidRDefault="00586DE2" w:rsidP="00BD43E0">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BD43E0" w:rsidRPr="003874B7">
        <w:rPr>
          <w:color w:val="000000"/>
        </w:rPr>
        <w:t xml:space="preserve">You will need to </w:t>
      </w:r>
      <w:r w:rsidR="00BD43E0">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586DE2" w:rsidRDefault="00586DE2" w:rsidP="00586DE2">
      <w:pPr>
        <w:jc w:val="both"/>
        <w:rPr>
          <w:b/>
          <w:color w:val="000000"/>
        </w:rPr>
      </w:pPr>
    </w:p>
    <w:p w:rsidR="00586DE2" w:rsidRDefault="00586DE2"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586DE2">
      <w:pPr>
        <w:jc w:val="both"/>
        <w:rPr>
          <w:b/>
          <w:color w:val="000000"/>
        </w:rPr>
      </w:pPr>
    </w:p>
    <w:p w:rsidR="000112EC" w:rsidRDefault="000112EC" w:rsidP="000112EC">
      <w:pPr>
        <w:spacing w:line="480" w:lineRule="atLeast"/>
        <w:jc w:val="center"/>
        <w:rPr>
          <w:b/>
          <w:color w:val="000000"/>
        </w:rPr>
      </w:pPr>
      <w:r>
        <w:rPr>
          <w:b/>
          <w:color w:val="000000"/>
        </w:rPr>
        <w:t>---------------------------------------------------------------------------------------------------------------------</w:t>
      </w:r>
    </w:p>
    <w:p w:rsidR="000112EC" w:rsidRDefault="000112EC" w:rsidP="00586DE2">
      <w:pPr>
        <w:jc w:val="both"/>
        <w:rPr>
          <w:b/>
          <w:color w:val="000000"/>
        </w:rPr>
      </w:pPr>
    </w:p>
    <w:p w:rsidR="00586DE2" w:rsidRDefault="00586DE2" w:rsidP="00586DE2">
      <w:pPr>
        <w:rPr>
          <w:b/>
          <w:color w:val="000000"/>
        </w:rPr>
      </w:pPr>
      <w:r w:rsidRPr="003874B7">
        <w:rPr>
          <w:b/>
          <w:color w:val="000000"/>
        </w:rPr>
        <w:t>EXERCISE ELEVEN-A</w:t>
      </w:r>
    </w:p>
    <w:p w:rsidR="00586DE2" w:rsidRPr="003874B7" w:rsidRDefault="00586DE2" w:rsidP="00586DE2">
      <w:pPr>
        <w:jc w:val="both"/>
        <w:rPr>
          <w:b/>
          <w:color w:val="000000"/>
        </w:rPr>
      </w:pPr>
      <w:r w:rsidRPr="003874B7">
        <w:rPr>
          <w:b/>
          <w:color w:val="000000"/>
        </w:rPr>
        <w:t>QUESTIONS</w:t>
      </w:r>
    </w:p>
    <w:p w:rsidR="00586DE2" w:rsidRPr="003874B7" w:rsidRDefault="00586DE2" w:rsidP="00586DE2">
      <w:pPr>
        <w:rPr>
          <w:color w:val="000000"/>
        </w:rPr>
      </w:pPr>
    </w:p>
    <w:p w:rsidR="00586DE2" w:rsidRPr="003874B7" w:rsidRDefault="00586DE2" w:rsidP="00586DE2">
      <w:pPr>
        <w:numPr>
          <w:ilvl w:val="0"/>
          <w:numId w:val="1"/>
        </w:numPr>
        <w:rPr>
          <w:color w:val="000000"/>
        </w:rPr>
      </w:pPr>
      <w:r w:rsidRPr="003874B7">
        <w:rPr>
          <w:color w:val="000000"/>
        </w:rPr>
        <w:t xml:space="preserve">Should </w:t>
      </w:r>
      <w:r w:rsidRPr="003874B7">
        <w:rPr>
          <w:i/>
          <w:color w:val="000000"/>
        </w:rPr>
        <w:t>The House</w:t>
      </w:r>
      <w:r w:rsidRPr="003874B7">
        <w:rPr>
          <w:color w:val="000000"/>
        </w:rPr>
        <w:t xml:space="preserve"> change the advertising strategy? Explain.</w:t>
      </w:r>
    </w:p>
    <w:p w:rsidR="00586DE2" w:rsidRPr="003874B7" w:rsidRDefault="00586DE2" w:rsidP="00586DE2">
      <w:pPr>
        <w:rPr>
          <w:color w:val="000000"/>
        </w:rPr>
      </w:pPr>
    </w:p>
    <w:p w:rsidR="00586DE2" w:rsidRDefault="00586DE2" w:rsidP="00586DE2">
      <w:pPr>
        <w:rPr>
          <w:color w:val="000000"/>
        </w:rPr>
      </w:pPr>
    </w:p>
    <w:p w:rsidR="00586DE2" w:rsidRDefault="00586DE2" w:rsidP="00586DE2">
      <w:pPr>
        <w:rPr>
          <w:color w:val="000000"/>
        </w:rPr>
      </w:pPr>
    </w:p>
    <w:p w:rsidR="000112EC" w:rsidRDefault="000112EC" w:rsidP="00586DE2">
      <w:pPr>
        <w:rPr>
          <w:color w:val="000000"/>
        </w:rPr>
      </w:pPr>
    </w:p>
    <w:p w:rsidR="000112EC" w:rsidRPr="003874B7" w:rsidRDefault="000112EC" w:rsidP="00586DE2">
      <w:pPr>
        <w:rPr>
          <w:color w:val="000000"/>
        </w:rPr>
      </w:pPr>
    </w:p>
    <w:p w:rsidR="00586DE2" w:rsidRPr="003874B7" w:rsidRDefault="00586DE2" w:rsidP="00586DE2">
      <w:pPr>
        <w:rPr>
          <w:color w:val="000000"/>
        </w:rPr>
      </w:pPr>
    </w:p>
    <w:p w:rsidR="00586DE2" w:rsidRPr="003874B7" w:rsidRDefault="00586DE2" w:rsidP="00586DE2">
      <w:pPr>
        <w:numPr>
          <w:ilvl w:val="0"/>
          <w:numId w:val="1"/>
        </w:numPr>
        <w:rPr>
          <w:color w:val="000000"/>
        </w:rPr>
      </w:pPr>
      <w:r w:rsidRPr="003874B7">
        <w:rPr>
          <w:color w:val="000000"/>
        </w:rPr>
        <w:t xml:space="preserve">Are there any problems in switching the advertising program from the long run objective of store image enhancement to short-term sales objectives? How might these problems be overcome?  </w:t>
      </w:r>
    </w:p>
    <w:p w:rsidR="00586DE2" w:rsidRDefault="00586DE2" w:rsidP="00586DE2">
      <w:pPr>
        <w:rPr>
          <w:color w:val="000000"/>
        </w:rPr>
      </w:pPr>
    </w:p>
    <w:p w:rsidR="000112EC" w:rsidRDefault="000112EC" w:rsidP="00586DE2">
      <w:pPr>
        <w:rPr>
          <w:color w:val="000000"/>
        </w:rPr>
      </w:pPr>
    </w:p>
    <w:p w:rsidR="000112EC" w:rsidRDefault="000112EC" w:rsidP="00586DE2">
      <w:pPr>
        <w:rPr>
          <w:color w:val="000000"/>
        </w:rPr>
      </w:pPr>
    </w:p>
    <w:p w:rsidR="000112EC" w:rsidRDefault="000112EC" w:rsidP="00586DE2">
      <w:pPr>
        <w:rPr>
          <w:color w:val="000000"/>
        </w:rPr>
      </w:pPr>
    </w:p>
    <w:p w:rsidR="000112EC" w:rsidRDefault="000112EC" w:rsidP="00586DE2">
      <w:pPr>
        <w:rPr>
          <w:color w:val="000000"/>
        </w:rPr>
      </w:pPr>
    </w:p>
    <w:p w:rsidR="000112EC" w:rsidRPr="003874B7" w:rsidRDefault="000112EC" w:rsidP="00586DE2">
      <w:pPr>
        <w:rPr>
          <w:color w:val="000000"/>
        </w:rPr>
      </w:pPr>
    </w:p>
    <w:p w:rsidR="00586DE2" w:rsidRDefault="00586DE2" w:rsidP="00586DE2">
      <w:pPr>
        <w:rPr>
          <w:color w:val="000000"/>
        </w:rPr>
      </w:pPr>
    </w:p>
    <w:p w:rsidR="000112EC" w:rsidRPr="003874B7" w:rsidRDefault="000112EC" w:rsidP="00586DE2">
      <w:pPr>
        <w:rPr>
          <w:color w:val="000000"/>
        </w:rPr>
      </w:pPr>
    </w:p>
    <w:p w:rsidR="00586DE2" w:rsidRPr="003874B7" w:rsidRDefault="00586DE2" w:rsidP="00586DE2">
      <w:pPr>
        <w:numPr>
          <w:ilvl w:val="0"/>
          <w:numId w:val="1"/>
        </w:numPr>
        <w:rPr>
          <w:color w:val="000000"/>
        </w:rPr>
      </w:pPr>
      <w:r w:rsidRPr="003874B7">
        <w:rPr>
          <w:color w:val="000000"/>
        </w:rPr>
        <w:t xml:space="preserve">Given the nature of the business of </w:t>
      </w:r>
      <w:r w:rsidRPr="003874B7">
        <w:rPr>
          <w:i/>
          <w:color w:val="000000"/>
        </w:rPr>
        <w:t xml:space="preserve">The House, </w:t>
      </w:r>
      <w:r w:rsidRPr="003874B7">
        <w:rPr>
          <w:color w:val="000000"/>
        </w:rPr>
        <w:t>which type of advertising – image enhancement or sales objectives – do you think is most appropriate? Why?</w:t>
      </w:r>
    </w:p>
    <w:p w:rsidR="00586DE2" w:rsidRPr="003874B7" w:rsidRDefault="00586DE2" w:rsidP="00586DE2">
      <w:pPr>
        <w:rPr>
          <w:color w:val="000000"/>
        </w:rPr>
      </w:pPr>
    </w:p>
    <w:p w:rsidR="00586DE2" w:rsidRDefault="00586DE2" w:rsidP="00586DE2">
      <w:pPr>
        <w:rPr>
          <w:color w:val="000000"/>
        </w:rPr>
      </w:pPr>
    </w:p>
    <w:p w:rsidR="000112EC" w:rsidRDefault="000112EC" w:rsidP="00586DE2">
      <w:pPr>
        <w:rPr>
          <w:color w:val="000000"/>
        </w:rPr>
      </w:pPr>
    </w:p>
    <w:p w:rsidR="000112EC" w:rsidRDefault="000112EC" w:rsidP="00586DE2">
      <w:pPr>
        <w:rPr>
          <w:color w:val="000000"/>
        </w:rPr>
      </w:pPr>
    </w:p>
    <w:p w:rsidR="000112EC" w:rsidRDefault="000112EC" w:rsidP="00586DE2">
      <w:pPr>
        <w:rPr>
          <w:color w:val="000000"/>
        </w:rPr>
      </w:pPr>
    </w:p>
    <w:p w:rsidR="00586DE2" w:rsidRDefault="00586DE2" w:rsidP="00586DE2">
      <w:pPr>
        <w:rPr>
          <w:color w:val="000000"/>
        </w:rPr>
      </w:pPr>
    </w:p>
    <w:p w:rsidR="00586DE2" w:rsidRDefault="00586DE2" w:rsidP="00586DE2">
      <w:pPr>
        <w:rPr>
          <w:color w:val="000000"/>
        </w:rPr>
      </w:pPr>
    </w:p>
    <w:p w:rsidR="00586DE2" w:rsidRDefault="00586DE2" w:rsidP="00586DE2">
      <w:pPr>
        <w:rPr>
          <w:color w:val="000000"/>
        </w:rPr>
      </w:pPr>
    </w:p>
    <w:p w:rsidR="00586DE2" w:rsidRPr="003874B7" w:rsidRDefault="00586DE2" w:rsidP="00586DE2">
      <w:pPr>
        <w:rPr>
          <w:color w:val="000000"/>
        </w:rPr>
      </w:pPr>
    </w:p>
    <w:p w:rsidR="00586DE2" w:rsidRPr="003874B7" w:rsidRDefault="00586DE2" w:rsidP="00586DE2">
      <w:pPr>
        <w:numPr>
          <w:ilvl w:val="0"/>
          <w:numId w:val="1"/>
        </w:numPr>
        <w:rPr>
          <w:color w:val="000000"/>
        </w:rPr>
      </w:pPr>
      <w:r w:rsidRPr="003874B7">
        <w:rPr>
          <w:color w:val="000000"/>
        </w:rPr>
        <w:t xml:space="preserve">What other considerations should be taken into account other than the impact on average number of items purchased due to the increased advertising? What other variables in the simulation may change?  </w:t>
      </w:r>
    </w:p>
    <w:p w:rsidR="00586DE2" w:rsidRDefault="00586DE2" w:rsidP="00586DE2">
      <w:pPr>
        <w:rPr>
          <w:color w:val="000000"/>
        </w:rPr>
      </w:pPr>
    </w:p>
    <w:p w:rsidR="00586DE2" w:rsidRDefault="00586DE2" w:rsidP="00586DE2">
      <w:pPr>
        <w:rPr>
          <w:color w:val="000000"/>
        </w:rPr>
      </w:pPr>
    </w:p>
    <w:p w:rsidR="00660D8B" w:rsidRDefault="00660D8B"/>
    <w:p w:rsidR="000112EC" w:rsidRDefault="000112EC"/>
    <w:p w:rsidR="000112EC" w:rsidRDefault="000112EC"/>
    <w:p w:rsidR="000112EC" w:rsidRDefault="000112EC"/>
    <w:sectPr w:rsidR="000112EC"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D8B" w:rsidRDefault="00660D8B" w:rsidP="007653A6">
      <w:r>
        <w:separator/>
      </w:r>
    </w:p>
  </w:endnote>
  <w:endnote w:type="continuationSeparator" w:id="0">
    <w:p w:rsidR="00660D8B" w:rsidRDefault="00660D8B" w:rsidP="007653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1D0" w:rsidRDefault="006951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D8B" w:rsidRDefault="00660D8B" w:rsidP="000112EC">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660D8B" w:rsidRDefault="00660D8B">
    <w:pPr>
      <w:pStyle w:val="Footer"/>
    </w:pPr>
  </w:p>
  <w:p w:rsidR="00660D8B" w:rsidRDefault="00660D8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1D0" w:rsidRDefault="006951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D8B" w:rsidRDefault="00660D8B" w:rsidP="007653A6">
      <w:r>
        <w:separator/>
      </w:r>
    </w:p>
  </w:footnote>
  <w:footnote w:type="continuationSeparator" w:id="0">
    <w:p w:rsidR="00660D8B" w:rsidRDefault="00660D8B" w:rsidP="007653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1D0" w:rsidRDefault="006951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D8B" w:rsidRDefault="00087784" w:rsidP="007653A6">
    <w:pPr>
      <w:pStyle w:val="Header"/>
    </w:pPr>
    <w:r w:rsidRPr="00087784">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href="the_house_front_door.doc" style="position:absolute;margin-left:168.2pt;margin-top:-19.35pt;width:126.8pt;height:51.6pt;z-index:251658240" o:button="t">
          <v:fill o:detectmouseclick="t"/>
          <v:imagedata r:id="rId1" o:title=""/>
        </v:shape>
        <o:OLEObject Type="Embed" ProgID="Unknown" ShapeID="_x0000_s2049" DrawAspect="Content" ObjectID="_1315631867" r:id="rId2"/>
      </w:pict>
    </w:r>
    <w:r w:rsidR="00660D8B" w:rsidRPr="00741806">
      <w:rPr>
        <w:i/>
        <w:sz w:val="36"/>
        <w:szCs w:val="36"/>
      </w:rPr>
      <w:t>The House</w:t>
    </w:r>
    <w:r w:rsidR="00660D8B">
      <w:rPr>
        <w:i/>
      </w:rPr>
      <w:tab/>
    </w:r>
    <w:r w:rsidR="00660D8B">
      <w:ptab w:relativeTo="margin" w:alignment="center" w:leader="none"/>
    </w:r>
    <w:sdt>
      <w:sdtPr>
        <w:id w:val="-1327724870"/>
        <w:placeholder>
          <w:docPart w:val="10C566CEA26D4D238E785927B047E27C"/>
        </w:placeholder>
        <w:temporary/>
        <w:showingPlcHdr/>
      </w:sdtPr>
      <w:sdtContent>
        <w:r w:rsidR="00660D8B">
          <w:t>[Type text]</w:t>
        </w:r>
      </w:sdtContent>
    </w:sdt>
    <w:r w:rsidR="00660D8B">
      <w:t xml:space="preserve">                                Paul T. McGurr     </w:t>
    </w:r>
  </w:p>
  <w:p w:rsidR="00660D8B" w:rsidRDefault="00660D8B" w:rsidP="007653A6">
    <w:pPr>
      <w:pStyle w:val="Header"/>
    </w:pPr>
    <w:r>
      <w:tab/>
    </w:r>
    <w:r>
      <w:tab/>
      <w:t>Fort Lewis College</w:t>
    </w:r>
  </w:p>
  <w:p w:rsidR="00660D8B" w:rsidRDefault="00660D8B">
    <w:pPr>
      <w:pStyle w:val="Header"/>
    </w:pPr>
    <w:r>
      <w:t xml:space="preserve">                                          Click the House to </w:t>
    </w:r>
    <w:r>
      <w:rPr>
        <w:noProof/>
      </w:rPr>
      <w:drawing>
        <wp:inline distT="0" distB="0" distL="0" distR="0">
          <wp:extent cx="304800" cy="304800"/>
          <wp:effectExtent l="19050" t="0" r="0" b="0"/>
          <wp:docPr id="3"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1D0" w:rsidRDefault="006951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A1F4E"/>
    <w:multiLevelType w:val="hybridMultilevel"/>
    <w:tmpl w:val="3AA06C66"/>
    <w:lvl w:ilvl="0" w:tplc="530EC5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586DE2"/>
    <w:rsid w:val="000112EC"/>
    <w:rsid w:val="00051283"/>
    <w:rsid w:val="00087784"/>
    <w:rsid w:val="000B7066"/>
    <w:rsid w:val="001447B6"/>
    <w:rsid w:val="004B695B"/>
    <w:rsid w:val="0051203A"/>
    <w:rsid w:val="00573CC6"/>
    <w:rsid w:val="00586DE2"/>
    <w:rsid w:val="005A239E"/>
    <w:rsid w:val="00644975"/>
    <w:rsid w:val="00660D8B"/>
    <w:rsid w:val="006951D0"/>
    <w:rsid w:val="007653A6"/>
    <w:rsid w:val="007F76B2"/>
    <w:rsid w:val="00862A22"/>
    <w:rsid w:val="00991BFF"/>
    <w:rsid w:val="00AA2F87"/>
    <w:rsid w:val="00AA6DBF"/>
    <w:rsid w:val="00BD43E0"/>
    <w:rsid w:val="00E66FC2"/>
    <w:rsid w:val="00FB4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DE2"/>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6DE2"/>
    <w:rPr>
      <w:rFonts w:ascii="Tahoma" w:hAnsi="Tahoma" w:cs="Tahoma"/>
      <w:sz w:val="16"/>
      <w:szCs w:val="16"/>
    </w:rPr>
  </w:style>
  <w:style w:type="character" w:customStyle="1" w:styleId="BalloonTextChar">
    <w:name w:val="Balloon Text Char"/>
    <w:basedOn w:val="DefaultParagraphFont"/>
    <w:link w:val="BalloonText"/>
    <w:uiPriority w:val="99"/>
    <w:semiHidden/>
    <w:rsid w:val="00586DE2"/>
    <w:rPr>
      <w:rFonts w:ascii="Tahoma" w:eastAsia="Times New Roman" w:hAnsi="Tahoma" w:cs="Tahoma"/>
      <w:sz w:val="16"/>
      <w:szCs w:val="16"/>
    </w:rPr>
  </w:style>
  <w:style w:type="paragraph" w:styleId="Header">
    <w:name w:val="header"/>
    <w:basedOn w:val="Normal"/>
    <w:link w:val="HeaderChar"/>
    <w:uiPriority w:val="99"/>
    <w:unhideWhenUsed/>
    <w:rsid w:val="007653A6"/>
    <w:pPr>
      <w:tabs>
        <w:tab w:val="center" w:pos="4680"/>
        <w:tab w:val="right" w:pos="9360"/>
      </w:tabs>
    </w:pPr>
  </w:style>
  <w:style w:type="character" w:customStyle="1" w:styleId="HeaderChar">
    <w:name w:val="Header Char"/>
    <w:basedOn w:val="DefaultParagraphFont"/>
    <w:link w:val="Header"/>
    <w:uiPriority w:val="99"/>
    <w:rsid w:val="007653A6"/>
    <w:rPr>
      <w:rFonts w:ascii="New York" w:eastAsia="Times New Roman" w:hAnsi="New York" w:cs="Times New Roman"/>
      <w:sz w:val="24"/>
      <w:szCs w:val="20"/>
    </w:rPr>
  </w:style>
  <w:style w:type="paragraph" w:styleId="Footer">
    <w:name w:val="footer"/>
    <w:basedOn w:val="Normal"/>
    <w:link w:val="FooterChar"/>
    <w:uiPriority w:val="99"/>
    <w:unhideWhenUsed/>
    <w:rsid w:val="007653A6"/>
    <w:pPr>
      <w:tabs>
        <w:tab w:val="center" w:pos="4680"/>
        <w:tab w:val="right" w:pos="9360"/>
      </w:tabs>
    </w:pPr>
  </w:style>
  <w:style w:type="character" w:customStyle="1" w:styleId="FooterChar">
    <w:name w:val="Footer Char"/>
    <w:basedOn w:val="DefaultParagraphFont"/>
    <w:link w:val="Footer"/>
    <w:uiPriority w:val="99"/>
    <w:rsid w:val="007653A6"/>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790519253">
      <w:bodyDiv w:val="1"/>
      <w:marLeft w:val="0"/>
      <w:marRight w:val="0"/>
      <w:marTop w:val="0"/>
      <w:marBottom w:val="0"/>
      <w:divBdr>
        <w:top w:val="none" w:sz="0" w:space="0" w:color="auto"/>
        <w:left w:val="none" w:sz="0" w:space="0" w:color="auto"/>
        <w:bottom w:val="none" w:sz="0" w:space="0" w:color="auto"/>
        <w:right w:val="none" w:sz="0" w:space="0" w:color="auto"/>
      </w:divBdr>
    </w:div>
    <w:div w:id="913005405">
      <w:bodyDiv w:val="1"/>
      <w:marLeft w:val="0"/>
      <w:marRight w:val="0"/>
      <w:marTop w:val="0"/>
      <w:marBottom w:val="0"/>
      <w:divBdr>
        <w:top w:val="none" w:sz="0" w:space="0" w:color="auto"/>
        <w:left w:val="none" w:sz="0" w:space="0" w:color="auto"/>
        <w:bottom w:val="none" w:sz="0" w:space="0" w:color="auto"/>
        <w:right w:val="none" w:sz="0" w:space="0" w:color="auto"/>
      </w:divBdr>
    </w:div>
    <w:div w:id="131297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0C566CEA26D4D238E785927B047E27C"/>
        <w:category>
          <w:name w:val="General"/>
          <w:gallery w:val="placeholder"/>
        </w:category>
        <w:types>
          <w:type w:val="bbPlcHdr"/>
        </w:types>
        <w:behaviors>
          <w:behavior w:val="content"/>
        </w:behaviors>
        <w:guid w:val="{8F0A5590-0E2E-4AB0-A88B-3A5AD5ACA84E}"/>
      </w:docPartPr>
      <w:docPartBody>
        <w:p w:rsidR="00D15F7D" w:rsidRDefault="00FF5270" w:rsidP="00FF5270">
          <w:pPr>
            <w:pStyle w:val="10C566CEA26D4D238E785927B047E27C"/>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F5270"/>
    <w:rsid w:val="001219E8"/>
    <w:rsid w:val="003D2FBF"/>
    <w:rsid w:val="00831D41"/>
    <w:rsid w:val="00D15F7D"/>
    <w:rsid w:val="00D8415B"/>
    <w:rsid w:val="00ED0DFE"/>
    <w:rsid w:val="00FF52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F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12C1B4B099419DA38D4232C020612C">
    <w:name w:val="4612C1B4B099419DA38D4232C020612C"/>
    <w:rsid w:val="00FF5270"/>
  </w:style>
  <w:style w:type="paragraph" w:customStyle="1" w:styleId="D74F3EA8AB474F0A9A714EF3A4BDC6A3">
    <w:name w:val="D74F3EA8AB474F0A9A714EF3A4BDC6A3"/>
    <w:rsid w:val="00FF5270"/>
  </w:style>
  <w:style w:type="paragraph" w:customStyle="1" w:styleId="3AC5788D123A49258D62A3E57E9470B7">
    <w:name w:val="3AC5788D123A49258D62A3E57E9470B7"/>
    <w:rsid w:val="00FF5270"/>
  </w:style>
  <w:style w:type="paragraph" w:customStyle="1" w:styleId="10C566CEA26D4D238E785927B047E27C">
    <w:name w:val="10C566CEA26D4D238E785927B047E27C"/>
    <w:rsid w:val="00FF5270"/>
  </w:style>
  <w:style w:type="paragraph" w:customStyle="1" w:styleId="CDBBDEABB31846C39549C5AE8A36F464">
    <w:name w:val="CDBBDEABB31846C39549C5AE8A36F464"/>
    <w:rsid w:val="00831D4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4</Pages>
  <Words>647</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Fort Lewis College</Company>
  <LinksUpToDate>false</LinksUpToDate>
  <CharactersWithSpaces>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cp:lastPrinted>2009-06-09T20:25:00Z</cp:lastPrinted>
  <dcterms:created xsi:type="dcterms:W3CDTF">2009-06-08T20:01:00Z</dcterms:created>
  <dcterms:modified xsi:type="dcterms:W3CDTF">2009-09-28T14:31:00Z</dcterms:modified>
</cp:coreProperties>
</file>