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5C3C" w:rsidRDefault="00F25C3C" w:rsidP="00346B46">
      <w:pPr>
        <w:jc w:val="center"/>
        <w:rPr>
          <w:b/>
          <w:color w:val="000000"/>
        </w:rPr>
      </w:pPr>
      <w:r>
        <w:rPr>
          <w:b/>
          <w:color w:val="000000"/>
        </w:rPr>
        <w:t>---------------------------------------------------------------------------------------------------------------------</w:t>
      </w:r>
    </w:p>
    <w:p w:rsidR="00346B46" w:rsidRPr="003874B7" w:rsidRDefault="00346B46" w:rsidP="00346B46">
      <w:pPr>
        <w:jc w:val="center"/>
        <w:rPr>
          <w:b/>
          <w:color w:val="000000"/>
        </w:rPr>
      </w:pPr>
      <w:r w:rsidRPr="003874B7">
        <w:rPr>
          <w:b/>
          <w:color w:val="000000"/>
        </w:rPr>
        <w:t>PHASE THREE SPREADSHEET MODEL:</w:t>
      </w:r>
    </w:p>
    <w:p w:rsidR="00346B46" w:rsidRPr="003874B7" w:rsidRDefault="00346B46" w:rsidP="00346B46">
      <w:pPr>
        <w:jc w:val="center"/>
        <w:rPr>
          <w:b/>
          <w:color w:val="000000"/>
        </w:rPr>
      </w:pPr>
      <w:r w:rsidRPr="003874B7">
        <w:rPr>
          <w:b/>
          <w:color w:val="000000"/>
        </w:rPr>
        <w:t>BASIC CONCEPTS</w:t>
      </w:r>
    </w:p>
    <w:p w:rsidR="00346B46" w:rsidRPr="003874B7" w:rsidRDefault="00346B46" w:rsidP="00346B46">
      <w:pPr>
        <w:jc w:val="center"/>
        <w:rPr>
          <w:color w:val="000000"/>
        </w:rPr>
      </w:pPr>
    </w:p>
    <w:p w:rsidR="00346B46" w:rsidRDefault="00346B46" w:rsidP="00346B46">
      <w:pPr>
        <w:jc w:val="both"/>
        <w:rPr>
          <w:color w:val="000000"/>
        </w:rPr>
      </w:pPr>
      <w:r w:rsidRPr="003874B7">
        <w:rPr>
          <w:color w:val="000000"/>
        </w:rPr>
        <w:tab/>
        <w:t xml:space="preserve">The problems you will work in phase three relate to Part Three--"Market Selection and Location Analysis" of </w:t>
      </w:r>
      <w:r w:rsidRPr="003874B7">
        <w:rPr>
          <w:i/>
          <w:color w:val="000000"/>
        </w:rPr>
        <w:t>Retailing</w:t>
      </w:r>
      <w:r w:rsidRPr="003874B7">
        <w:rPr>
          <w:color w:val="000000"/>
        </w:rPr>
        <w:t xml:space="preserve"> (</w:t>
      </w:r>
      <w:r>
        <w:rPr>
          <w:color w:val="000000"/>
        </w:rPr>
        <w:t>2011</w:t>
      </w:r>
      <w:r w:rsidRPr="003874B7">
        <w:rPr>
          <w:color w:val="000000"/>
        </w:rPr>
        <w:t>) by Dunne</w:t>
      </w:r>
      <w:r>
        <w:rPr>
          <w:color w:val="000000"/>
        </w:rPr>
        <w:t>,</w:t>
      </w:r>
      <w:r w:rsidRPr="003874B7">
        <w:rPr>
          <w:color w:val="000000"/>
        </w:rPr>
        <w:t xml:space="preserve"> Lusch</w:t>
      </w:r>
      <w:r>
        <w:rPr>
          <w:color w:val="000000"/>
        </w:rPr>
        <w:t xml:space="preserve"> and Carver</w:t>
      </w:r>
      <w:r w:rsidRPr="003874B7">
        <w:rPr>
          <w:color w:val="000000"/>
        </w:rPr>
        <w:t xml:space="preserve">. </w:t>
      </w:r>
    </w:p>
    <w:p w:rsidR="00346B46" w:rsidRDefault="00346B46" w:rsidP="00346B46">
      <w:pPr>
        <w:jc w:val="both"/>
        <w:rPr>
          <w:color w:val="000000"/>
        </w:rPr>
      </w:pPr>
    </w:p>
    <w:p w:rsidR="00346B46" w:rsidRDefault="00346B46" w:rsidP="00346B46">
      <w:pPr>
        <w:rPr>
          <w:color w:val="000000"/>
        </w:rPr>
      </w:pPr>
      <w:r>
        <w:rPr>
          <w:color w:val="000000"/>
        </w:rPr>
        <w:t>The baseline financial information</w:t>
      </w:r>
      <w:r w:rsidRPr="003874B7">
        <w:rPr>
          <w:color w:val="000000"/>
        </w:rPr>
        <w:t xml:space="preserve"> </w:t>
      </w:r>
      <w:r>
        <w:rPr>
          <w:color w:val="000000"/>
        </w:rPr>
        <w:t>can be found by clicking on the flannel shirt</w:t>
      </w:r>
    </w:p>
    <w:p w:rsidR="00346B46" w:rsidRPr="003874B7" w:rsidRDefault="00346B46" w:rsidP="00346B46">
      <w:pPr>
        <w:rPr>
          <w:color w:val="000000"/>
        </w:rPr>
      </w:pPr>
      <w:r>
        <w:rPr>
          <w:color w:val="000000"/>
        </w:rPr>
        <w:tab/>
      </w:r>
      <w:r>
        <w:rPr>
          <w:color w:val="000000"/>
        </w:rPr>
        <w:tab/>
      </w:r>
      <w:r>
        <w:rPr>
          <w:color w:val="000000"/>
        </w:rPr>
        <w:tab/>
      </w:r>
      <w:r>
        <w:rPr>
          <w:color w:val="000000"/>
        </w:rPr>
        <w:tab/>
      </w:r>
      <w:r>
        <w:rPr>
          <w:noProof/>
          <w:color w:val="000000"/>
        </w:rPr>
        <w:drawing>
          <wp:inline distT="0" distB="0" distL="0" distR="0">
            <wp:extent cx="1460500" cy="1371600"/>
            <wp:effectExtent l="19050" t="0" r="6350" b="0"/>
            <wp:docPr id="1" name="Picture 1" descr="CLESH007">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ESH007"/>
                    <pic:cNvPicPr>
                      <a:picLocks noChangeAspect="1" noChangeArrowheads="1"/>
                    </pic:cNvPicPr>
                  </pic:nvPicPr>
                  <pic:blipFill>
                    <a:blip r:embed="rId8" cstate="print"/>
                    <a:srcRect/>
                    <a:stretch>
                      <a:fillRect/>
                    </a:stretch>
                  </pic:blipFill>
                  <pic:spPr bwMode="auto">
                    <a:xfrm>
                      <a:off x="0" y="0"/>
                      <a:ext cx="1460500" cy="1371600"/>
                    </a:xfrm>
                    <a:prstGeom prst="rect">
                      <a:avLst/>
                    </a:prstGeom>
                    <a:noFill/>
                    <a:ln w="9525">
                      <a:noFill/>
                      <a:miter lim="800000"/>
                      <a:headEnd/>
                      <a:tailEnd/>
                    </a:ln>
                  </pic:spPr>
                </pic:pic>
              </a:graphicData>
            </a:graphic>
          </wp:inline>
        </w:drawing>
      </w:r>
    </w:p>
    <w:p w:rsidR="00346B46" w:rsidRDefault="00346B46" w:rsidP="00346B46">
      <w:pPr>
        <w:jc w:val="both"/>
        <w:rPr>
          <w:color w:val="000000"/>
        </w:rPr>
      </w:pPr>
    </w:p>
    <w:p w:rsidR="00346B46" w:rsidRDefault="00346B46" w:rsidP="00346B46">
      <w:pPr>
        <w:jc w:val="both"/>
        <w:rPr>
          <w:color w:val="000000"/>
        </w:rPr>
      </w:pPr>
    </w:p>
    <w:p w:rsidR="00346B46" w:rsidRPr="003874B7" w:rsidRDefault="00346B46" w:rsidP="00346B46">
      <w:pPr>
        <w:jc w:val="both"/>
        <w:rPr>
          <w:color w:val="000000"/>
        </w:rPr>
      </w:pPr>
      <w:r w:rsidRPr="003874B7">
        <w:rPr>
          <w:color w:val="000000"/>
        </w:rPr>
        <w:t>The new concepts you need to be familiar with concern the trade area of a retail store.  Previously we discussed market coverage. In this phase we learn about the determinants of market coverage. An understanding of the following terms is necessary:</w:t>
      </w:r>
    </w:p>
    <w:p w:rsidR="00346B46" w:rsidRPr="003874B7" w:rsidRDefault="00346B46" w:rsidP="00346B46">
      <w:pPr>
        <w:jc w:val="both"/>
        <w:rPr>
          <w:color w:val="000000"/>
        </w:rPr>
      </w:pPr>
    </w:p>
    <w:p w:rsidR="00346B46" w:rsidRPr="003874B7" w:rsidRDefault="00346B46" w:rsidP="00346B46">
      <w:pPr>
        <w:numPr>
          <w:ilvl w:val="0"/>
          <w:numId w:val="1"/>
        </w:numPr>
        <w:jc w:val="both"/>
        <w:rPr>
          <w:color w:val="000000"/>
        </w:rPr>
      </w:pPr>
      <w:r w:rsidRPr="003874B7">
        <w:rPr>
          <w:b/>
          <w:color w:val="000000"/>
        </w:rPr>
        <w:t>trade area</w:t>
      </w:r>
      <w:r w:rsidRPr="003874B7">
        <w:rPr>
          <w:color w:val="000000"/>
        </w:rPr>
        <w:t xml:space="preserve"> is the geographic area from which a retailer draws its customers.  </w:t>
      </w:r>
    </w:p>
    <w:p w:rsidR="00346B46" w:rsidRPr="003874B7" w:rsidRDefault="00346B46" w:rsidP="00346B46">
      <w:pPr>
        <w:numPr>
          <w:ilvl w:val="12"/>
          <w:numId w:val="0"/>
        </w:numPr>
        <w:ind w:left="1080" w:hanging="360"/>
        <w:jc w:val="both"/>
        <w:rPr>
          <w:color w:val="000000"/>
        </w:rPr>
      </w:pPr>
    </w:p>
    <w:p w:rsidR="00346B46" w:rsidRPr="003874B7" w:rsidRDefault="00346B46" w:rsidP="00346B46">
      <w:pPr>
        <w:numPr>
          <w:ilvl w:val="0"/>
          <w:numId w:val="1"/>
        </w:numPr>
        <w:jc w:val="both"/>
        <w:rPr>
          <w:color w:val="000000"/>
        </w:rPr>
      </w:pPr>
      <w:r w:rsidRPr="003874B7">
        <w:rPr>
          <w:b/>
          <w:color w:val="000000"/>
        </w:rPr>
        <w:t>trade radius</w:t>
      </w:r>
      <w:r w:rsidRPr="003874B7">
        <w:rPr>
          <w:color w:val="000000"/>
        </w:rPr>
        <w:t xml:space="preserve"> is the number of miles from the store from which customers are attracted.  This concept assumes that a store's trade area is represented by a circle surrounding the store.  The trade radius would be the radius of that circle.  </w:t>
      </w:r>
    </w:p>
    <w:p w:rsidR="00346B46" w:rsidRPr="003874B7" w:rsidRDefault="00346B46" w:rsidP="00346B46">
      <w:pPr>
        <w:numPr>
          <w:ilvl w:val="12"/>
          <w:numId w:val="0"/>
        </w:numPr>
        <w:ind w:left="1080" w:hanging="360"/>
        <w:jc w:val="both"/>
        <w:rPr>
          <w:color w:val="000000"/>
        </w:rPr>
      </w:pPr>
    </w:p>
    <w:p w:rsidR="00346B46" w:rsidRPr="003874B7" w:rsidRDefault="00346B46" w:rsidP="00346B46">
      <w:pPr>
        <w:numPr>
          <w:ilvl w:val="0"/>
          <w:numId w:val="1"/>
        </w:numPr>
        <w:jc w:val="both"/>
        <w:rPr>
          <w:color w:val="000000"/>
        </w:rPr>
      </w:pPr>
      <w:r w:rsidRPr="003874B7">
        <w:rPr>
          <w:b/>
          <w:color w:val="000000"/>
        </w:rPr>
        <w:t>population density</w:t>
      </w:r>
      <w:r w:rsidRPr="003874B7">
        <w:rPr>
          <w:color w:val="000000"/>
        </w:rPr>
        <w:t xml:space="preserve"> is the number of people or households per square mile within the store's trade area. In this simulation we use households as the measure of population density.  </w:t>
      </w:r>
    </w:p>
    <w:p w:rsidR="00346B46" w:rsidRPr="003874B7" w:rsidRDefault="00346B46" w:rsidP="00346B46">
      <w:pPr>
        <w:jc w:val="both"/>
        <w:rPr>
          <w:color w:val="000000"/>
        </w:rPr>
      </w:pPr>
    </w:p>
    <w:p w:rsidR="00346B46" w:rsidRPr="003874B7" w:rsidRDefault="00346B46" w:rsidP="00346B46">
      <w:pPr>
        <w:jc w:val="both"/>
        <w:rPr>
          <w:color w:val="000000"/>
        </w:rPr>
      </w:pPr>
      <w:r w:rsidRPr="003874B7">
        <w:rPr>
          <w:color w:val="000000"/>
        </w:rPr>
        <w:tab/>
      </w:r>
      <w:r>
        <w:rPr>
          <w:color w:val="000000"/>
        </w:rPr>
        <w:t>When you</w:t>
      </w:r>
      <w:r w:rsidRPr="003874B7">
        <w:rPr>
          <w:color w:val="000000"/>
        </w:rPr>
        <w:t xml:space="preserve"> combine the concept of </w:t>
      </w:r>
      <w:r w:rsidRPr="003874B7">
        <w:rPr>
          <w:b/>
          <w:color w:val="000000"/>
        </w:rPr>
        <w:t>market coverage</w:t>
      </w:r>
      <w:r w:rsidRPr="003874B7">
        <w:rPr>
          <w:color w:val="000000"/>
        </w:rPr>
        <w:t>, which we introduced in phase two, with the preceding concepts, the following relationship</w:t>
      </w:r>
      <w:r>
        <w:rPr>
          <w:color w:val="000000"/>
        </w:rPr>
        <w:t xml:space="preserve"> is obtained</w:t>
      </w:r>
      <w:r w:rsidRPr="003874B7">
        <w:rPr>
          <w:color w:val="000000"/>
        </w:rPr>
        <w:t>.</w:t>
      </w:r>
    </w:p>
    <w:p w:rsidR="00346B46" w:rsidRPr="003874B7" w:rsidRDefault="00346B46" w:rsidP="00346B46">
      <w:pPr>
        <w:jc w:val="both"/>
        <w:rPr>
          <w:color w:val="000000"/>
        </w:rPr>
      </w:pPr>
    </w:p>
    <w:p w:rsidR="00346B46" w:rsidRPr="003874B7" w:rsidRDefault="00346B46" w:rsidP="00346B46">
      <w:pPr>
        <w:ind w:left="720"/>
        <w:jc w:val="both"/>
        <w:rPr>
          <w:color w:val="000000"/>
        </w:rPr>
      </w:pPr>
      <w:r w:rsidRPr="003874B7">
        <w:rPr>
          <w:b/>
          <w:color w:val="000000"/>
        </w:rPr>
        <w:t>market coverage</w:t>
      </w:r>
      <w:r w:rsidRPr="003874B7">
        <w:rPr>
          <w:color w:val="000000"/>
        </w:rPr>
        <w:t xml:space="preserve"> = (22/7) * (trade radius squared) * (population or household density) </w:t>
      </w:r>
    </w:p>
    <w:p w:rsidR="00346B46" w:rsidRPr="003874B7" w:rsidRDefault="00346B46" w:rsidP="00346B46">
      <w:pPr>
        <w:ind w:left="720"/>
        <w:jc w:val="both"/>
        <w:rPr>
          <w:color w:val="000000"/>
        </w:rPr>
      </w:pPr>
    </w:p>
    <w:p w:rsidR="00346B46" w:rsidRDefault="00346B46" w:rsidP="00346B46">
      <w:pPr>
        <w:jc w:val="both"/>
        <w:rPr>
          <w:color w:val="000000"/>
        </w:rPr>
      </w:pPr>
      <w:r w:rsidRPr="003874B7">
        <w:rPr>
          <w:color w:val="000000"/>
        </w:rPr>
        <w:tab/>
        <w:t xml:space="preserve">To understand the preceding you need to recall that the formula for the area of a circle is pi times the square of the radius of the circle. Where pi is the mathematical constant of 22/7 or 3.142857.  Recall that we are assuming that the trade area is circular.  If we take pi times the radius squared we get the number of square miles in a circle or the number of square miles in the trade area. If we then multiply this by the population or household density we obtain the total number of people or households in the trade area, or what we refer to as market coverage.   </w:t>
      </w:r>
    </w:p>
    <w:p w:rsidR="00346B46" w:rsidRDefault="00346B46" w:rsidP="00346B46">
      <w:pPr>
        <w:jc w:val="both"/>
        <w:rPr>
          <w:color w:val="000000"/>
        </w:rPr>
      </w:pPr>
    </w:p>
    <w:p w:rsidR="00F25C3C" w:rsidRDefault="00F25C3C" w:rsidP="00F25C3C">
      <w:pPr>
        <w:jc w:val="center"/>
        <w:rPr>
          <w:b/>
          <w:color w:val="000000"/>
        </w:rPr>
      </w:pPr>
      <w:r>
        <w:rPr>
          <w:b/>
          <w:color w:val="000000"/>
        </w:rPr>
        <w:t>---------------------------------------------------------------------------------------------------------------------</w:t>
      </w:r>
    </w:p>
    <w:p w:rsidR="00F25C3C" w:rsidRDefault="00F25C3C" w:rsidP="00346B46">
      <w:pPr>
        <w:rPr>
          <w:color w:val="000000"/>
        </w:rPr>
      </w:pPr>
    </w:p>
    <w:p w:rsidR="00346B46" w:rsidRDefault="00346B46" w:rsidP="00F25C3C">
      <w:pPr>
        <w:ind w:firstLine="720"/>
        <w:rPr>
          <w:color w:val="000000"/>
        </w:rPr>
      </w:pPr>
      <w:r>
        <w:rPr>
          <w:color w:val="000000"/>
        </w:rPr>
        <w:t>The baseline financial information</w:t>
      </w:r>
      <w:r w:rsidRPr="003874B7">
        <w:rPr>
          <w:color w:val="000000"/>
        </w:rPr>
        <w:t xml:space="preserve"> </w:t>
      </w:r>
      <w:r>
        <w:rPr>
          <w:color w:val="000000"/>
        </w:rPr>
        <w:t>can be found by clicking on the flannel shirt</w:t>
      </w:r>
    </w:p>
    <w:p w:rsidR="00346B46" w:rsidRPr="003874B7" w:rsidRDefault="00346B46" w:rsidP="00346B46">
      <w:pPr>
        <w:rPr>
          <w:color w:val="000000"/>
        </w:rPr>
      </w:pPr>
      <w:r>
        <w:rPr>
          <w:color w:val="000000"/>
        </w:rPr>
        <w:tab/>
      </w:r>
      <w:r>
        <w:rPr>
          <w:color w:val="000000"/>
        </w:rPr>
        <w:tab/>
      </w:r>
      <w:r>
        <w:rPr>
          <w:color w:val="000000"/>
        </w:rPr>
        <w:tab/>
      </w:r>
      <w:r>
        <w:rPr>
          <w:color w:val="000000"/>
        </w:rPr>
        <w:tab/>
      </w:r>
      <w:r>
        <w:rPr>
          <w:noProof/>
          <w:color w:val="000000"/>
        </w:rPr>
        <w:drawing>
          <wp:inline distT="0" distB="0" distL="0" distR="0">
            <wp:extent cx="1460500" cy="1371600"/>
            <wp:effectExtent l="19050" t="0" r="6350" b="0"/>
            <wp:docPr id="2" name="Picture 2" descr="CLESH007">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LESH007"/>
                    <pic:cNvPicPr>
                      <a:picLocks noChangeAspect="1" noChangeArrowheads="1"/>
                    </pic:cNvPicPr>
                  </pic:nvPicPr>
                  <pic:blipFill>
                    <a:blip r:embed="rId8" cstate="print"/>
                    <a:srcRect/>
                    <a:stretch>
                      <a:fillRect/>
                    </a:stretch>
                  </pic:blipFill>
                  <pic:spPr bwMode="auto">
                    <a:xfrm>
                      <a:off x="0" y="0"/>
                      <a:ext cx="1460500" cy="1371600"/>
                    </a:xfrm>
                    <a:prstGeom prst="rect">
                      <a:avLst/>
                    </a:prstGeom>
                    <a:noFill/>
                    <a:ln w="9525">
                      <a:noFill/>
                      <a:miter lim="800000"/>
                      <a:headEnd/>
                      <a:tailEnd/>
                    </a:ln>
                  </pic:spPr>
                </pic:pic>
              </a:graphicData>
            </a:graphic>
          </wp:inline>
        </w:drawing>
      </w:r>
    </w:p>
    <w:p w:rsidR="00346B46" w:rsidRDefault="00346B46" w:rsidP="00346B46">
      <w:pPr>
        <w:jc w:val="both"/>
        <w:rPr>
          <w:b/>
          <w:color w:val="000000"/>
        </w:rPr>
      </w:pPr>
    </w:p>
    <w:p w:rsidR="00346B46" w:rsidRDefault="00346B46" w:rsidP="00346B46">
      <w:pPr>
        <w:jc w:val="both"/>
        <w:rPr>
          <w:b/>
          <w:color w:val="000000"/>
        </w:rPr>
      </w:pPr>
    </w:p>
    <w:p w:rsidR="00346B46" w:rsidRDefault="00346B46" w:rsidP="00346B46">
      <w:pPr>
        <w:jc w:val="both"/>
        <w:rPr>
          <w:b/>
          <w:color w:val="000000"/>
        </w:rPr>
      </w:pPr>
    </w:p>
    <w:p w:rsidR="00DA6CC6" w:rsidRDefault="00DA6CC6" w:rsidP="00DA6CC6">
      <w:r>
        <w:t>Click to return to exercises:</w:t>
      </w:r>
    </w:p>
    <w:p w:rsidR="00DA6CC6" w:rsidRDefault="00DA6CC6" w:rsidP="00DA6CC6"/>
    <w:p w:rsidR="00DA6CC6" w:rsidRDefault="00905D36" w:rsidP="00DA6CC6">
      <w:hyperlink r:id="rId9" w:history="1">
        <w:r w:rsidR="00DA6CC6" w:rsidRPr="00DA6CC6">
          <w:rPr>
            <w:rStyle w:val="Hyperlink"/>
          </w:rPr>
          <w:t>7-A</w:t>
        </w:r>
      </w:hyperlink>
      <w:r w:rsidR="00DA6CC6">
        <w:tab/>
      </w:r>
      <w:r w:rsidR="00DA6CC6">
        <w:tab/>
      </w:r>
    </w:p>
    <w:p w:rsidR="00346B46" w:rsidRDefault="00905D36" w:rsidP="00DA6CC6">
      <w:pPr>
        <w:jc w:val="both"/>
        <w:rPr>
          <w:b/>
          <w:color w:val="000000"/>
        </w:rPr>
      </w:pPr>
      <w:hyperlink r:id="rId10" w:history="1">
        <w:r w:rsidR="00DA6CC6">
          <w:rPr>
            <w:rStyle w:val="Hyperlink"/>
          </w:rPr>
          <w:t>7-B</w:t>
        </w:r>
      </w:hyperlink>
      <w:r w:rsidR="00DA6CC6">
        <w:tab/>
      </w:r>
      <w:r w:rsidR="00DA6CC6">
        <w:tab/>
      </w:r>
    </w:p>
    <w:p w:rsidR="00346B46" w:rsidRDefault="00346B46" w:rsidP="00346B46">
      <w:pPr>
        <w:jc w:val="both"/>
        <w:rPr>
          <w:b/>
          <w:color w:val="000000"/>
        </w:rPr>
      </w:pPr>
    </w:p>
    <w:p w:rsidR="00346B46" w:rsidRDefault="00346B46" w:rsidP="00346B46">
      <w:pPr>
        <w:jc w:val="both"/>
        <w:rPr>
          <w:b/>
          <w:color w:val="000000"/>
        </w:rPr>
      </w:pPr>
    </w:p>
    <w:p w:rsidR="00346B46" w:rsidRDefault="00346B46" w:rsidP="00346B46">
      <w:pPr>
        <w:jc w:val="both"/>
        <w:rPr>
          <w:b/>
          <w:color w:val="000000"/>
        </w:rPr>
      </w:pPr>
    </w:p>
    <w:p w:rsidR="00346B46" w:rsidRDefault="00346B46" w:rsidP="00346B46">
      <w:pPr>
        <w:jc w:val="both"/>
        <w:rPr>
          <w:b/>
          <w:color w:val="000000"/>
        </w:rPr>
      </w:pPr>
    </w:p>
    <w:p w:rsidR="00346B46" w:rsidRDefault="00346B46" w:rsidP="00346B46">
      <w:pPr>
        <w:jc w:val="both"/>
        <w:rPr>
          <w:b/>
          <w:color w:val="000000"/>
        </w:rPr>
      </w:pPr>
    </w:p>
    <w:p w:rsidR="00346B46" w:rsidRDefault="00346B46" w:rsidP="00346B46">
      <w:pPr>
        <w:jc w:val="both"/>
        <w:rPr>
          <w:b/>
          <w:color w:val="000000"/>
        </w:rPr>
      </w:pPr>
    </w:p>
    <w:p w:rsidR="00346B46" w:rsidRDefault="00346B46" w:rsidP="00346B46">
      <w:pPr>
        <w:jc w:val="both"/>
        <w:rPr>
          <w:b/>
          <w:color w:val="000000"/>
        </w:rPr>
      </w:pPr>
    </w:p>
    <w:p w:rsidR="00346B46" w:rsidRDefault="00346B46" w:rsidP="00346B46">
      <w:pPr>
        <w:jc w:val="both"/>
        <w:rPr>
          <w:b/>
          <w:color w:val="000000"/>
        </w:rPr>
      </w:pPr>
    </w:p>
    <w:p w:rsidR="00346B46" w:rsidRDefault="00346B46" w:rsidP="00346B46">
      <w:pPr>
        <w:jc w:val="both"/>
        <w:rPr>
          <w:b/>
          <w:color w:val="000000"/>
        </w:rPr>
      </w:pPr>
    </w:p>
    <w:p w:rsidR="00346B46" w:rsidRDefault="00346B46" w:rsidP="00346B46">
      <w:pPr>
        <w:jc w:val="both"/>
        <w:rPr>
          <w:b/>
          <w:color w:val="000000"/>
        </w:rPr>
      </w:pPr>
    </w:p>
    <w:p w:rsidR="00346B46" w:rsidRDefault="00346B46" w:rsidP="00346B46">
      <w:pPr>
        <w:jc w:val="both"/>
        <w:rPr>
          <w:b/>
          <w:color w:val="000000"/>
        </w:rPr>
      </w:pPr>
    </w:p>
    <w:p w:rsidR="00346B46" w:rsidRDefault="00346B46" w:rsidP="00346B46">
      <w:pPr>
        <w:jc w:val="both"/>
        <w:rPr>
          <w:b/>
          <w:color w:val="000000"/>
        </w:rPr>
      </w:pPr>
    </w:p>
    <w:p w:rsidR="00346B46" w:rsidRDefault="00346B46" w:rsidP="00346B46">
      <w:pPr>
        <w:jc w:val="both"/>
        <w:rPr>
          <w:b/>
          <w:color w:val="000000"/>
        </w:rPr>
      </w:pPr>
    </w:p>
    <w:p w:rsidR="00346B46" w:rsidRDefault="00346B46" w:rsidP="00346B46">
      <w:pPr>
        <w:jc w:val="both"/>
        <w:rPr>
          <w:b/>
          <w:color w:val="000000"/>
        </w:rPr>
      </w:pPr>
    </w:p>
    <w:p w:rsidR="00346B46" w:rsidRDefault="00346B46" w:rsidP="00346B46">
      <w:pPr>
        <w:jc w:val="both"/>
        <w:rPr>
          <w:b/>
          <w:color w:val="000000"/>
        </w:rPr>
      </w:pPr>
    </w:p>
    <w:p w:rsidR="00346B46" w:rsidRDefault="00346B46" w:rsidP="00346B46">
      <w:pPr>
        <w:jc w:val="both"/>
        <w:rPr>
          <w:b/>
          <w:color w:val="000000"/>
        </w:rPr>
      </w:pPr>
    </w:p>
    <w:p w:rsidR="00346B46" w:rsidRDefault="00346B46" w:rsidP="00346B46">
      <w:pPr>
        <w:jc w:val="both"/>
        <w:rPr>
          <w:b/>
          <w:color w:val="000000"/>
        </w:rPr>
      </w:pPr>
    </w:p>
    <w:p w:rsidR="00346B46" w:rsidRDefault="00346B46" w:rsidP="00346B46">
      <w:pPr>
        <w:jc w:val="both"/>
        <w:rPr>
          <w:b/>
          <w:color w:val="000000"/>
        </w:rPr>
      </w:pPr>
    </w:p>
    <w:p w:rsidR="00A74C13" w:rsidRDefault="00B523F1"/>
    <w:sectPr w:rsidR="00A74C13" w:rsidSect="00644975">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2B07" w:rsidRDefault="006F2B07" w:rsidP="006F2B07">
      <w:r>
        <w:separator/>
      </w:r>
    </w:p>
  </w:endnote>
  <w:endnote w:type="continuationSeparator" w:id="0">
    <w:p w:rsidR="006F2B07" w:rsidRDefault="006F2B07" w:rsidP="006F2B0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New York">
    <w:altName w:val="Times New Roman"/>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23F1" w:rsidRDefault="00B523F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5C3C" w:rsidRDefault="00F25C3C" w:rsidP="00F25C3C">
    <w:pPr>
      <w:rPr>
        <w:color w:val="0000FF"/>
      </w:rPr>
    </w:pPr>
    <w:r>
      <w:rPr>
        <w:rFonts w:ascii="Times New Roman" w:hAnsi="Times New Roman"/>
        <w:b/>
        <w:bCs/>
        <w:color w:val="0000FF"/>
        <w:szCs w:val="24"/>
      </w:rPr>
      <w:t>© 2010 Cengage Learning. All Rights Reserved. May not be scanned, copied or duplicated, or posted to a publicly accessible website, in whole or in part.</w:t>
    </w:r>
  </w:p>
  <w:p w:rsidR="00F25C3C" w:rsidRDefault="00F25C3C">
    <w:pPr>
      <w:pStyle w:val="Footer"/>
    </w:pPr>
  </w:p>
  <w:p w:rsidR="006F2B07" w:rsidRDefault="006F2B07">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23F1" w:rsidRDefault="00B523F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2B07" w:rsidRDefault="006F2B07" w:rsidP="006F2B07">
      <w:r>
        <w:separator/>
      </w:r>
    </w:p>
  </w:footnote>
  <w:footnote w:type="continuationSeparator" w:id="0">
    <w:p w:rsidR="006F2B07" w:rsidRDefault="006F2B07" w:rsidP="006F2B0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23F1" w:rsidRDefault="00B523F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63C3" w:rsidRPr="007531A8" w:rsidRDefault="00905D36" w:rsidP="000A63C3">
    <w:pPr>
      <w:pStyle w:val="Header"/>
      <w:rPr>
        <w:noProof/>
        <w:szCs w:val="24"/>
      </w:rPr>
    </w:pPr>
    <w:r w:rsidRPr="00905D36">
      <w:rPr>
        <w:i/>
        <w:noProof/>
        <w:sz w:val="36"/>
        <w:szCs w:val="3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href="the_house_front_door.doc" style="position:absolute;margin-left:168.2pt;margin-top:-19.35pt;width:126.8pt;height:51.6pt;z-index:251660288" o:button="t">
          <v:fill o:detectmouseclick="t"/>
          <v:imagedata r:id="rId1" o:title=""/>
        </v:shape>
        <o:OLEObject Type="Embed" ProgID="Unknown" ShapeID="_x0000_s2050" DrawAspect="Content" ObjectID="_1315632323" r:id="rId2"/>
      </w:pict>
    </w:r>
    <w:r w:rsidR="000A63C3" w:rsidRPr="007531A8">
      <w:rPr>
        <w:i/>
        <w:noProof/>
        <w:sz w:val="36"/>
        <w:szCs w:val="36"/>
      </w:rPr>
      <w:t>The House</w:t>
    </w:r>
    <w:r w:rsidR="000A63C3" w:rsidRPr="007531A8">
      <w:rPr>
        <w:i/>
        <w:noProof/>
        <w:sz w:val="28"/>
        <w:szCs w:val="28"/>
      </w:rPr>
      <w:tab/>
    </w:r>
    <w:r w:rsidR="000A63C3" w:rsidRPr="007531A8">
      <w:rPr>
        <w:noProof/>
        <w:szCs w:val="24"/>
      </w:rPr>
      <w:ptab w:relativeTo="margin" w:alignment="center" w:leader="none"/>
    </w:r>
    <w:r w:rsidR="000A63C3" w:rsidRPr="007531A8">
      <w:rPr>
        <w:noProof/>
        <w:szCs w:val="24"/>
      </w:rPr>
      <w:t xml:space="preserve">                                      </w:t>
    </w:r>
    <w:r w:rsidR="000A63C3">
      <w:rPr>
        <w:noProof/>
        <w:szCs w:val="24"/>
      </w:rPr>
      <w:t xml:space="preserve">         </w:t>
    </w:r>
    <w:r w:rsidR="000A63C3" w:rsidRPr="007531A8">
      <w:rPr>
        <w:noProof/>
        <w:szCs w:val="24"/>
      </w:rPr>
      <w:t xml:space="preserve">   Paul T. McGurr     </w:t>
    </w:r>
  </w:p>
  <w:p w:rsidR="000A63C3" w:rsidRPr="007531A8" w:rsidRDefault="000A63C3" w:rsidP="000A63C3">
    <w:pPr>
      <w:pStyle w:val="Header"/>
      <w:rPr>
        <w:noProof/>
        <w:szCs w:val="24"/>
      </w:rPr>
    </w:pPr>
    <w:r w:rsidRPr="007531A8">
      <w:rPr>
        <w:i/>
        <w:noProof/>
        <w:sz w:val="28"/>
        <w:szCs w:val="28"/>
      </w:rPr>
      <w:tab/>
    </w:r>
    <w:r w:rsidRPr="007531A8">
      <w:rPr>
        <w:i/>
        <w:noProof/>
        <w:sz w:val="28"/>
        <w:szCs w:val="28"/>
      </w:rPr>
      <w:tab/>
    </w:r>
    <w:r w:rsidRPr="007531A8">
      <w:rPr>
        <w:noProof/>
        <w:szCs w:val="24"/>
      </w:rPr>
      <w:t>Fort Lewis College</w:t>
    </w:r>
  </w:p>
  <w:p w:rsidR="006F2B07" w:rsidRPr="000A63C3" w:rsidRDefault="000A63C3">
    <w:pPr>
      <w:pStyle w:val="Header"/>
      <w:rPr>
        <w:noProof/>
        <w:szCs w:val="24"/>
      </w:rPr>
    </w:pPr>
    <w:r w:rsidRPr="007531A8">
      <w:rPr>
        <w:noProof/>
        <w:szCs w:val="24"/>
      </w:rPr>
      <w:t xml:space="preserve">                                          Click the House to </w:t>
    </w:r>
    <w:r w:rsidRPr="007531A8">
      <w:rPr>
        <w:noProof/>
        <w:szCs w:val="24"/>
      </w:rPr>
      <w:drawing>
        <wp:inline distT="0" distB="0" distL="0" distR="0">
          <wp:extent cx="304800" cy="304800"/>
          <wp:effectExtent l="19050" t="0" r="0" b="0"/>
          <wp:docPr id="22" name="Picture 2" descr="ARROW12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ROW12C.GIF"/>
                  <pic:cNvPicPr/>
                </pic:nvPicPr>
                <pic:blipFill>
                  <a:blip r:embed="rId3"/>
                  <a:stretch>
                    <a:fillRect/>
                  </a:stretch>
                </pic:blipFill>
                <pic:spPr>
                  <a:xfrm>
                    <a:off x="0" y="0"/>
                    <a:ext cx="304800" cy="304800"/>
                  </a:xfrm>
                  <a:prstGeom prst="rect">
                    <a:avLst/>
                  </a:prstGeom>
                </pic:spPr>
              </pic:pic>
            </a:graphicData>
          </a:graphic>
        </wp:inline>
      </w:drawing>
    </w:r>
    <w:r w:rsidRPr="007531A8">
      <w:rPr>
        <w:noProof/>
        <w:szCs w:val="24"/>
      </w:rPr>
      <w:t xml:space="preserve">return to table of contents  </w:t>
    </w:r>
    <w:r w:rsidR="006F2B07">
      <w:ptab w:relativeTo="margin" w:alignment="right" w:leader="none"/>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23F1" w:rsidRDefault="00B523F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1E0E45EE"/>
    <w:lvl w:ilvl="0">
      <w:numFmt w:val="decimal"/>
      <w:lvlText w:val="*"/>
      <w:lvlJc w:val="left"/>
    </w:lvl>
  </w:abstractNum>
  <w:num w:numId="1">
    <w:abstractNumId w:val="0"/>
    <w:lvlOverride w:ilvl="0">
      <w:lvl w:ilvl="0">
        <w:start w:val="1"/>
        <w:numFmt w:val="bullet"/>
        <w:lvlText w:val=""/>
        <w:legacy w:legacy="1" w:legacySpace="0" w:legacyIndent="360"/>
        <w:lvlJc w:val="left"/>
        <w:pPr>
          <w:ind w:left="1080" w:hanging="360"/>
        </w:pPr>
        <w:rPr>
          <w:rFonts w:ascii="Symbol" w:hAnsi="Symbol"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rsids>
    <w:rsidRoot w:val="00346B46"/>
    <w:rsid w:val="000A63C3"/>
    <w:rsid w:val="001447B6"/>
    <w:rsid w:val="00346B46"/>
    <w:rsid w:val="0049129B"/>
    <w:rsid w:val="004B695B"/>
    <w:rsid w:val="00644975"/>
    <w:rsid w:val="006F2B07"/>
    <w:rsid w:val="007C3376"/>
    <w:rsid w:val="00862A22"/>
    <w:rsid w:val="00905D36"/>
    <w:rsid w:val="00991BFF"/>
    <w:rsid w:val="00B523F1"/>
    <w:rsid w:val="00DA6CC6"/>
    <w:rsid w:val="00E31CDD"/>
    <w:rsid w:val="00E65D3E"/>
    <w:rsid w:val="00F25C3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276" w:lineRule="auto"/>
        <w:ind w:left="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6B46"/>
    <w:pPr>
      <w:overflowPunct w:val="0"/>
      <w:autoSpaceDE w:val="0"/>
      <w:autoSpaceDN w:val="0"/>
      <w:adjustRightInd w:val="0"/>
      <w:spacing w:line="240" w:lineRule="auto"/>
      <w:ind w:left="0"/>
      <w:textAlignment w:val="baseline"/>
    </w:pPr>
    <w:rPr>
      <w:rFonts w:ascii="New York" w:eastAsia="Times New Roman" w:hAnsi="New York"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46B46"/>
    <w:rPr>
      <w:rFonts w:ascii="Tahoma" w:hAnsi="Tahoma" w:cs="Tahoma"/>
      <w:sz w:val="16"/>
      <w:szCs w:val="16"/>
    </w:rPr>
  </w:style>
  <w:style w:type="character" w:customStyle="1" w:styleId="BalloonTextChar">
    <w:name w:val="Balloon Text Char"/>
    <w:basedOn w:val="DefaultParagraphFont"/>
    <w:link w:val="BalloonText"/>
    <w:uiPriority w:val="99"/>
    <w:semiHidden/>
    <w:rsid w:val="00346B46"/>
    <w:rPr>
      <w:rFonts w:ascii="Tahoma" w:eastAsia="Times New Roman" w:hAnsi="Tahoma" w:cs="Tahoma"/>
      <w:sz w:val="16"/>
      <w:szCs w:val="16"/>
    </w:rPr>
  </w:style>
  <w:style w:type="paragraph" w:styleId="Header">
    <w:name w:val="header"/>
    <w:basedOn w:val="Normal"/>
    <w:link w:val="HeaderChar"/>
    <w:uiPriority w:val="99"/>
    <w:unhideWhenUsed/>
    <w:rsid w:val="006F2B07"/>
    <w:pPr>
      <w:tabs>
        <w:tab w:val="center" w:pos="4680"/>
        <w:tab w:val="right" w:pos="9360"/>
      </w:tabs>
    </w:pPr>
  </w:style>
  <w:style w:type="character" w:customStyle="1" w:styleId="HeaderChar">
    <w:name w:val="Header Char"/>
    <w:basedOn w:val="DefaultParagraphFont"/>
    <w:link w:val="Header"/>
    <w:uiPriority w:val="99"/>
    <w:rsid w:val="006F2B07"/>
    <w:rPr>
      <w:rFonts w:ascii="New York" w:eastAsia="Times New Roman" w:hAnsi="New York" w:cs="Times New Roman"/>
      <w:sz w:val="24"/>
      <w:szCs w:val="20"/>
    </w:rPr>
  </w:style>
  <w:style w:type="paragraph" w:styleId="Footer">
    <w:name w:val="footer"/>
    <w:basedOn w:val="Normal"/>
    <w:link w:val="FooterChar"/>
    <w:uiPriority w:val="99"/>
    <w:unhideWhenUsed/>
    <w:rsid w:val="006F2B07"/>
    <w:pPr>
      <w:tabs>
        <w:tab w:val="center" w:pos="4680"/>
        <w:tab w:val="right" w:pos="9360"/>
      </w:tabs>
    </w:pPr>
  </w:style>
  <w:style w:type="character" w:customStyle="1" w:styleId="FooterChar">
    <w:name w:val="Footer Char"/>
    <w:basedOn w:val="DefaultParagraphFont"/>
    <w:link w:val="Footer"/>
    <w:uiPriority w:val="99"/>
    <w:rsid w:val="006F2B07"/>
    <w:rPr>
      <w:rFonts w:ascii="New York" w:eastAsia="Times New Roman" w:hAnsi="New York" w:cs="Times New Roman"/>
      <w:sz w:val="24"/>
      <w:szCs w:val="20"/>
    </w:rPr>
  </w:style>
  <w:style w:type="character" w:styleId="Hyperlink">
    <w:name w:val="Hyperlink"/>
    <w:basedOn w:val="DefaultParagraphFont"/>
    <w:rsid w:val="00DA6CC6"/>
    <w:rPr>
      <w:color w:val="0000FF"/>
      <w:u w:val="single"/>
    </w:rPr>
  </w:style>
  <w:style w:type="character" w:styleId="FollowedHyperlink">
    <w:name w:val="FollowedHyperlink"/>
    <w:basedOn w:val="DefaultParagraphFont"/>
    <w:uiPriority w:val="99"/>
    <w:semiHidden/>
    <w:unhideWhenUsed/>
    <w:rsid w:val="00DA6CC6"/>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870025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file:///M:\The%20House%202009\baseline%20phase%203.xlsx"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Exercise%207B.docx" TargetMode="External"/><Relationship Id="rId4" Type="http://schemas.openxmlformats.org/officeDocument/2006/relationships/webSettings" Target="webSettings.xml"/><Relationship Id="rId9" Type="http://schemas.openxmlformats.org/officeDocument/2006/relationships/hyperlink" Target="Exercise%207A.docx"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3" Type="http://schemas.openxmlformats.org/officeDocument/2006/relationships/image" Target="media/image3.gif"/><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346</Words>
  <Characters>1974</Characters>
  <Application>Microsoft Office Word</Application>
  <DocSecurity>0</DocSecurity>
  <Lines>16</Lines>
  <Paragraphs>4</Paragraphs>
  <ScaleCrop>false</ScaleCrop>
  <Company>Fort Lewis College</Company>
  <LinksUpToDate>false</LinksUpToDate>
  <CharactersWithSpaces>2316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mcgurr_p</dc:creator>
  <cp:keywords/>
  <dc:description/>
  <cp:lastModifiedBy>mcgurr_p</cp:lastModifiedBy>
  <cp:revision>6</cp:revision>
  <dcterms:created xsi:type="dcterms:W3CDTF">2009-06-08T19:53:00Z</dcterms:created>
  <dcterms:modified xsi:type="dcterms:W3CDTF">2009-09-28T14:39:00Z</dcterms:modified>
</cp:coreProperties>
</file>